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12" w14:textId="77777777" w:rsidR="00391CAA" w:rsidRPr="008D6BE0" w:rsidRDefault="008D6BE0" w:rsidP="008D6BE0">
      <w:pPr>
        <w:pStyle w:val="NoSpacing"/>
        <w:rPr>
          <w:rFonts w:ascii="Noto Sans" w:hAnsi="Noto Sans" w:cs="Noto Sans"/>
          <w:b/>
          <w:bCs/>
          <w:sz w:val="28"/>
          <w:szCs w:val="28"/>
        </w:rPr>
      </w:pPr>
      <w:bookmarkStart w:id="0" w:name="_k7lb5kuno4yq" w:colFirst="0" w:colLast="0"/>
      <w:bookmarkStart w:id="1" w:name="_htnu11kg5fh6" w:colFirst="0" w:colLast="0"/>
      <w:bookmarkEnd w:id="0"/>
      <w:bookmarkEnd w:id="1"/>
      <w:proofErr w:type="gramStart"/>
      <w:r w:rsidRPr="008D6BE0">
        <w:rPr>
          <w:rFonts w:ascii="Noto Sans" w:hAnsi="Noto Sans" w:cs="Noto Sans"/>
          <w:b/>
          <w:bCs/>
          <w:sz w:val="28"/>
          <w:szCs w:val="28"/>
        </w:rPr>
        <w:t>Kin-state</w:t>
      </w:r>
      <w:proofErr w:type="gramEnd"/>
      <w:r w:rsidRPr="008D6BE0">
        <w:rPr>
          <w:rFonts w:ascii="Noto Sans" w:hAnsi="Noto Sans" w:cs="Noto Sans"/>
          <w:b/>
          <w:bCs/>
          <w:sz w:val="28"/>
          <w:szCs w:val="28"/>
        </w:rPr>
        <w:t xml:space="preserve"> / kin minority nationalism</w:t>
      </w:r>
    </w:p>
    <w:p w14:paraId="52406DC2" w14:textId="77777777" w:rsidR="008D6BE0" w:rsidRPr="008D6BE0" w:rsidRDefault="008D6BE0" w:rsidP="008D6BE0">
      <w:pPr>
        <w:pStyle w:val="NoSpacing"/>
        <w:rPr>
          <w:rFonts w:ascii="Noto Sans" w:hAnsi="Noto Sans" w:cs="Noto Sans"/>
          <w:iCs/>
          <w:sz w:val="28"/>
          <w:szCs w:val="28"/>
        </w:rPr>
      </w:pPr>
    </w:p>
    <w:p w14:paraId="00000013" w14:textId="41937D73" w:rsidR="00391CAA" w:rsidRPr="008D6BE0" w:rsidRDefault="008D6BE0" w:rsidP="008D6BE0">
      <w:pPr>
        <w:pStyle w:val="NoSpacing"/>
        <w:rPr>
          <w:rFonts w:ascii="Noto Sans" w:hAnsi="Noto Sans" w:cs="Noto Sans"/>
          <w:i/>
          <w:sz w:val="24"/>
          <w:szCs w:val="24"/>
        </w:rPr>
      </w:pPr>
      <w:r w:rsidRPr="008D6BE0">
        <w:rPr>
          <w:rFonts w:ascii="Noto Sans" w:hAnsi="Noto Sans" w:cs="Noto Sans"/>
          <w:i/>
          <w:sz w:val="24"/>
          <w:szCs w:val="24"/>
        </w:rPr>
        <w:t xml:space="preserve">This reading list compiles articles published in Nationalities Papers (2011-present) that cover issues of </w:t>
      </w:r>
      <w:proofErr w:type="gramStart"/>
      <w:r w:rsidRPr="008D6BE0">
        <w:rPr>
          <w:rFonts w:ascii="Noto Sans" w:hAnsi="Noto Sans" w:cs="Noto Sans"/>
          <w:i/>
          <w:sz w:val="24"/>
          <w:szCs w:val="24"/>
        </w:rPr>
        <w:t>kin-states</w:t>
      </w:r>
      <w:proofErr w:type="gramEnd"/>
      <w:r w:rsidRPr="008D6BE0">
        <w:rPr>
          <w:rFonts w:ascii="Noto Sans" w:hAnsi="Noto Sans" w:cs="Noto Sans"/>
          <w:i/>
          <w:sz w:val="24"/>
          <w:szCs w:val="24"/>
        </w:rPr>
        <w:t xml:space="preserve"> and nationalism, including kin minorities. </w:t>
      </w:r>
    </w:p>
    <w:p w14:paraId="0B331403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4" w14:textId="7BBC8B25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8D6BE0">
        <w:rPr>
          <w:rFonts w:ascii="Noto Sans" w:hAnsi="Noto Sans" w:cs="Noto Sans"/>
          <w:sz w:val="24"/>
          <w:szCs w:val="24"/>
        </w:rPr>
        <w:t>Hettyey</w:t>
      </w:r>
      <w:proofErr w:type="spellEnd"/>
      <w:r w:rsidRPr="008D6BE0">
        <w:rPr>
          <w:rFonts w:ascii="Noto Sans" w:hAnsi="Noto Sans" w:cs="Noto Sans"/>
          <w:sz w:val="24"/>
          <w:szCs w:val="24"/>
        </w:rPr>
        <w:t xml:space="preserve">, A. (2023). Collective Narcissism and Hungary’s Kin-State Policy after 2010. Nationalities Papers, 1-17. </w:t>
      </w:r>
      <w:hyperlink r:id="rId4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doi:10.1017/nps.2023.53</w:t>
        </w:r>
      </w:hyperlink>
    </w:p>
    <w:p w14:paraId="4BFB1E0C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5" w14:textId="330E7068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r w:rsidRPr="008D6BE0">
        <w:rPr>
          <w:rFonts w:ascii="Noto Sans" w:hAnsi="Noto Sans" w:cs="Noto Sans"/>
          <w:sz w:val="24"/>
          <w:szCs w:val="24"/>
        </w:rPr>
        <w:t xml:space="preserve">Subašić, M. (2023). Negotiating the Kin-State Citizenship: The Case of Croats from Herzegovina. Nationalities Papers, 51(2), 335-352. </w:t>
      </w:r>
      <w:hyperlink r:id="rId5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doi:10.1017/nps.2022.14</w:t>
        </w:r>
      </w:hyperlink>
    </w:p>
    <w:p w14:paraId="475C17EB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6" w14:textId="0609F72C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r w:rsidRPr="008D6BE0">
        <w:rPr>
          <w:rFonts w:ascii="Noto Sans" w:hAnsi="Noto Sans" w:cs="Noto Sans"/>
          <w:sz w:val="24"/>
          <w:szCs w:val="24"/>
        </w:rPr>
        <w:t xml:space="preserve">Gherghina, S., Soare, S., &amp; Tap, P. (2023). Speaking Out against the Discrimination of Romanians Abroad: An Analysis of Parliamentary Speeches in the Home Country. Nationalities Papers, 51(2), 403-424. </w:t>
      </w:r>
      <w:hyperlink r:id="rId6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doi:10.1017/nps.2022.32</w:t>
        </w:r>
      </w:hyperlink>
    </w:p>
    <w:p w14:paraId="636A74A6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7" w14:textId="16BCC8A7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8D6BE0">
        <w:rPr>
          <w:rFonts w:ascii="Noto Sans" w:hAnsi="Noto Sans" w:cs="Noto Sans"/>
          <w:sz w:val="24"/>
          <w:szCs w:val="24"/>
        </w:rPr>
        <w:t>Sansum</w:t>
      </w:r>
      <w:proofErr w:type="spellEnd"/>
      <w:r w:rsidRPr="008D6BE0">
        <w:rPr>
          <w:rFonts w:ascii="Noto Sans" w:hAnsi="Noto Sans" w:cs="Noto Sans"/>
          <w:sz w:val="24"/>
          <w:szCs w:val="24"/>
        </w:rPr>
        <w:t xml:space="preserve">, J., &amp; Dobos, B. (2020). Cultural Autonomy in Hungary: Inward or Outward Looking? Nationalities Papers, 48(2), 251-266. </w:t>
      </w:r>
      <w:hyperlink r:id="rId7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doi:10.1017/nps.2019.80</w:t>
        </w:r>
      </w:hyperlink>
    </w:p>
    <w:p w14:paraId="27CA4B70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8" w14:textId="0D4EEC42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r w:rsidRPr="008D6BE0">
        <w:rPr>
          <w:rFonts w:ascii="Noto Sans" w:hAnsi="Noto Sans" w:cs="Noto Sans"/>
          <w:sz w:val="24"/>
          <w:szCs w:val="24"/>
        </w:rPr>
        <w:t xml:space="preserve">Smith, D. (2020). The “Quadratic Nexus” Revisited: Nation-Building in Estonia Through the Prism of National Cultural Autonomy. Nationalities Papers, 48(2), 235-250. </w:t>
      </w:r>
      <w:hyperlink r:id="rId8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doi:10.1017/nps.2018.38</w:t>
        </w:r>
      </w:hyperlink>
    </w:p>
    <w:p w14:paraId="369F0350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9" w14:textId="32490704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r w:rsidRPr="008D6BE0">
        <w:rPr>
          <w:rFonts w:ascii="Noto Sans" w:hAnsi="Noto Sans" w:cs="Noto Sans"/>
          <w:sz w:val="24"/>
          <w:szCs w:val="24"/>
        </w:rPr>
        <w:t xml:space="preserve">Waterbury, M. (2020). Kin-State Politics: Causes and Consequences. Nationalities Papers, 48(5), 799-808. </w:t>
      </w:r>
      <w:hyperlink r:id="rId9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doi:10.1017/nps.2020.3</w:t>
        </w:r>
      </w:hyperlink>
    </w:p>
    <w:p w14:paraId="27F9B95E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A" w14:textId="7A79A69C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8D6BE0">
        <w:rPr>
          <w:rFonts w:ascii="Noto Sans" w:hAnsi="Noto Sans" w:cs="Noto Sans"/>
          <w:sz w:val="24"/>
          <w:szCs w:val="24"/>
        </w:rPr>
        <w:t>Vrbek</w:t>
      </w:r>
      <w:proofErr w:type="spellEnd"/>
      <w:r w:rsidRPr="008D6BE0">
        <w:rPr>
          <w:rFonts w:ascii="Noto Sans" w:hAnsi="Noto Sans" w:cs="Noto Sans"/>
          <w:sz w:val="24"/>
          <w:szCs w:val="24"/>
        </w:rPr>
        <w:t xml:space="preserve">, S. (2015). Reasons for EU double standards: Comparative overview of the cases of the Erased and the Non-citizens. Nationalities Papers, 43(2), 302-318. </w:t>
      </w:r>
      <w:hyperlink r:id="rId10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doi:10.1080/00905992.2014.980795</w:t>
        </w:r>
      </w:hyperlink>
    </w:p>
    <w:p w14:paraId="1FB83FF0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B" w14:textId="28AD6995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r w:rsidRPr="008D6BE0">
        <w:rPr>
          <w:rFonts w:ascii="Noto Sans" w:hAnsi="Noto Sans" w:cs="Noto Sans"/>
          <w:sz w:val="24"/>
          <w:szCs w:val="24"/>
        </w:rPr>
        <w:t xml:space="preserve">Krasniqi, G. (2013). “Quadratic nexus” and the process of democratization and state-building in Albania and Kosovo: A comparison. Nationalities Papers, 41(3), 395-411. </w:t>
      </w:r>
      <w:hyperlink r:id="rId11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doi:10.1080/00905992.2012.743515</w:t>
        </w:r>
      </w:hyperlink>
    </w:p>
    <w:p w14:paraId="2BFD1F7B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C" w14:textId="42D978D3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r w:rsidRPr="008D6BE0">
        <w:rPr>
          <w:rFonts w:ascii="Noto Sans" w:hAnsi="Noto Sans" w:cs="Noto Sans"/>
          <w:sz w:val="24"/>
          <w:szCs w:val="24"/>
        </w:rPr>
        <w:t xml:space="preserve">Schulze, J. (2010). Estonia caught between East and West: EU conditionality, Russia's </w:t>
      </w:r>
      <w:proofErr w:type="gramStart"/>
      <w:r w:rsidRPr="008D6BE0">
        <w:rPr>
          <w:rFonts w:ascii="Noto Sans" w:hAnsi="Noto Sans" w:cs="Noto Sans"/>
          <w:sz w:val="24"/>
          <w:szCs w:val="24"/>
        </w:rPr>
        <w:t>activism</w:t>
      </w:r>
      <w:proofErr w:type="gramEnd"/>
      <w:r w:rsidRPr="008D6BE0">
        <w:rPr>
          <w:rFonts w:ascii="Noto Sans" w:hAnsi="Noto Sans" w:cs="Noto Sans"/>
          <w:sz w:val="24"/>
          <w:szCs w:val="24"/>
        </w:rPr>
        <w:t xml:space="preserve"> and minority integration. Nationalities Papers, 38(3), 361-392. </w:t>
      </w:r>
      <w:hyperlink r:id="rId12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doi:10.1080/00905991003641954</w:t>
        </w:r>
      </w:hyperlink>
    </w:p>
    <w:p w14:paraId="1D2F83A1" w14:textId="77777777" w:rsidR="008D6BE0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</w:p>
    <w:p w14:paraId="0000001D" w14:textId="3E92B4D1" w:rsidR="00391CAA" w:rsidRPr="008D6BE0" w:rsidRDefault="008D6BE0" w:rsidP="008D6BE0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8D6BE0">
        <w:rPr>
          <w:rFonts w:ascii="Noto Sans" w:hAnsi="Noto Sans" w:cs="Noto Sans"/>
          <w:sz w:val="24"/>
          <w:szCs w:val="24"/>
        </w:rPr>
        <w:t>Pogonyi</w:t>
      </w:r>
      <w:proofErr w:type="spellEnd"/>
      <w:r w:rsidRPr="008D6BE0">
        <w:rPr>
          <w:rFonts w:ascii="Noto Sans" w:hAnsi="Noto Sans" w:cs="Noto Sans"/>
          <w:sz w:val="24"/>
          <w:szCs w:val="24"/>
        </w:rPr>
        <w:t xml:space="preserve">, S. (2011). Dual citizenship and sovereignty. Nationalities Papers, 39(5), 685-704. </w:t>
      </w:r>
      <w:hyperlink r:id="rId13">
        <w:r w:rsidRPr="008D6BE0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doi:10.1080/00905992.2011.599377</w:t>
        </w:r>
      </w:hyperlink>
    </w:p>
    <w:sectPr w:rsidR="00391CAA" w:rsidRPr="008D6BE0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AA"/>
    <w:rsid w:val="00391CAA"/>
    <w:rsid w:val="008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81C8"/>
  <w15:docId w15:val="{75D652FB-591F-497E-99E5-42B326CF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200" w:after="200" w:line="360" w:lineRule="auto"/>
        <w:ind w:left="283" w:right="5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D6BE0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nationalities-papers/article/quadratic-nexus-revisited-nationbuilding-in-estonia-through-the-prism-of-national-cultural-autonomy/E60D5B54BD4B50EB181FB11CC996C3FF" TargetMode="External"/><Relationship Id="rId13" Type="http://schemas.openxmlformats.org/officeDocument/2006/relationships/hyperlink" Target="https://www.cambridge.org/core/journals/nationalities-papers/article/abs/dual-citizenship-and-sovereignty/BF13AA93B2FE2145201FFEE99717F9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mbridge.org/core/journals/nationalities-papers/article/cultural-autonomy-in-hungary-inward-or-outward-looking/8513B2BCBA002002D948CA2CD2FA23DF" TargetMode="External"/><Relationship Id="rId12" Type="http://schemas.openxmlformats.org/officeDocument/2006/relationships/hyperlink" Target="https://www.cambridge.org/core/journals/nationalities-papers/article/abs/estonia-caught-between-east-and-west-eu-conditionality-russias-activism-and-minority-integration/FA64037408092C52B81D90BC59CF09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bridge.org/core/journals/nationalities-papers/article/speaking-out-against-the-discrimination-of-romanians-abroad-an-analysis-of-parliamentary-speeches-in-the-home-country/CC0E3A83CFAEF0AEEA03B53FC1B78B41" TargetMode="External"/><Relationship Id="rId11" Type="http://schemas.openxmlformats.org/officeDocument/2006/relationships/hyperlink" Target="https://www.cambridge.org/core/journals/nationalities-papers/article/abs/quadratic-nexus-and-the-process-of-democratization-and-statebuilding-in-albania-and-kosovo-a-comparison/1275D147D79E7C5258E28BC420547FBD" TargetMode="External"/><Relationship Id="rId5" Type="http://schemas.openxmlformats.org/officeDocument/2006/relationships/hyperlink" Target="https://www.cambridge.org/core/journals/nationalities-papers/article/negotiating-the-kinstate-citizenship-the-case-of-croats-from-herzegovina/3FDDB107D0A1EBA6CCB736FCE7BBE82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mbridge.org/core/journals/nationalities-papers/article/reasons-for-eu-double-standards-comparative-overview-of-the-cases-of-the-erased-and-the-noncitizens/8A29F03835748B820D2C5E6797DED5F2" TargetMode="External"/><Relationship Id="rId4" Type="http://schemas.openxmlformats.org/officeDocument/2006/relationships/hyperlink" Target="https://www.cambridge.org/core/journals/nationalities-papers/article/collective-narcissism-and-hungarys-kinstate-policy-after-2010/D15B5C3DEB70EE1C75D671AD41ED6C0A" TargetMode="External"/><Relationship Id="rId9" Type="http://schemas.openxmlformats.org/officeDocument/2006/relationships/hyperlink" Target="https://www.cambridge.org/core/journals/nationalities-papers/article/kinstate-politics-causes-and-consequences/C3D9E4E534CE040CA2D278B8D5AF83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3319</Characters>
  <Application>Microsoft Office Word</Application>
  <DocSecurity>4</DocSecurity>
  <Lines>27</Lines>
  <Paragraphs>7</Paragraphs>
  <ScaleCrop>false</ScaleCrop>
  <Company>Cambridge University Press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Ansell</dc:creator>
  <cp:lastModifiedBy>Jim Ansell</cp:lastModifiedBy>
  <cp:revision>2</cp:revision>
  <dcterms:created xsi:type="dcterms:W3CDTF">2024-05-08T09:29:00Z</dcterms:created>
  <dcterms:modified xsi:type="dcterms:W3CDTF">2024-05-08T09:29:00Z</dcterms:modified>
</cp:coreProperties>
</file>